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drawing>
          <wp:inline distT="0" distB="0" distL="114300" distR="114300">
            <wp:extent cx="1158240" cy="1011555"/>
            <wp:effectExtent l="0" t="0" r="0" b="9525"/>
            <wp:docPr id="7" name="图片 7" descr="Q)URM]O~)MQP~KA1_WZ3X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)URM]O~)MQP~KA1_WZ3X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drawing>
          <wp:inline distT="0" distB="0" distL="114300" distR="114300">
            <wp:extent cx="3872865" cy="1036955"/>
            <wp:effectExtent l="0" t="0" r="13335" b="14605"/>
            <wp:docPr id="8" name="图片 8" descr="MXWZZS4OZAEIUJF105DJC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XWZZS4OZAEIUJF105DJCR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姚体" w:hAnsi="方正姚体" w:eastAsia="方正姚体" w:cs="方正姚体"/>
          <w:b/>
          <w:kern w:val="0"/>
          <w:sz w:val="44"/>
          <w:szCs w:val="44"/>
        </w:rPr>
      </w:pPr>
      <w:r>
        <w:rPr>
          <w:rFonts w:hint="eastAsia" w:ascii="方正姚体" w:hAnsi="方正姚体" w:eastAsia="方正姚体" w:cs="方正姚体"/>
          <w:b/>
          <w:kern w:val="0"/>
          <w:sz w:val="44"/>
          <w:szCs w:val="44"/>
        </w:rPr>
        <w:t>药学与化学工程学院</w:t>
      </w:r>
    </w:p>
    <w:p>
      <w:pPr>
        <w:jc w:val="center"/>
        <w:rPr>
          <w:rFonts w:hint="default" w:ascii="方正姚体" w:hAnsi="方正姚体" w:eastAsia="方正姚体" w:cs="方正姚体"/>
          <w:b/>
          <w:kern w:val="0"/>
          <w:sz w:val="44"/>
          <w:szCs w:val="44"/>
          <w:lang w:val="en-US" w:eastAsia="zh-CN"/>
        </w:rPr>
      </w:pPr>
      <w:r>
        <w:rPr>
          <w:rFonts w:hint="eastAsia" w:ascii="方正姚体" w:hAnsi="方正姚体" w:eastAsia="方正姚体" w:cs="方正姚体"/>
          <w:b/>
          <w:kern w:val="0"/>
          <w:sz w:val="44"/>
          <w:szCs w:val="44"/>
          <w:lang w:val="en-US" w:eastAsia="zh-CN"/>
        </w:rPr>
        <w:t>劳动教育周</w:t>
      </w:r>
    </w:p>
    <w:p>
      <w:pPr>
        <w:jc w:val="center"/>
        <w:rPr>
          <w:rFonts w:ascii="方正姚体" w:hAnsi="方正姚体" w:eastAsia="方正姚体" w:cs="方正姚体"/>
          <w:b/>
          <w:kern w:val="0"/>
          <w:sz w:val="44"/>
          <w:szCs w:val="44"/>
        </w:rPr>
      </w:pPr>
    </w:p>
    <w:p>
      <w:pPr>
        <w:spacing w:line="1220" w:lineRule="atLeast"/>
        <w:jc w:val="center"/>
        <w:rPr>
          <w:rFonts w:ascii="方正姚体" w:hAnsi="方正姚体" w:eastAsia="方正姚体" w:cs="方正姚体"/>
          <w:b/>
          <w:sz w:val="72"/>
          <w:szCs w:val="72"/>
        </w:rPr>
      </w:pPr>
      <w:r>
        <w:rPr>
          <w:rFonts w:hint="eastAsia" w:ascii="方正姚体" w:hAnsi="方正姚体" w:eastAsia="方正姚体" w:cs="方正姚体"/>
          <w:b/>
          <w:kern w:val="0"/>
          <w:sz w:val="72"/>
          <w:szCs w:val="72"/>
        </w:rPr>
        <w:t>活</w:t>
      </w:r>
    </w:p>
    <w:p>
      <w:pPr>
        <w:spacing w:line="1220" w:lineRule="atLeast"/>
        <w:jc w:val="center"/>
        <w:rPr>
          <w:rFonts w:ascii="方正姚体" w:hAnsi="方正姚体" w:eastAsia="方正姚体" w:cs="方正姚体"/>
          <w:b/>
          <w:sz w:val="72"/>
          <w:szCs w:val="72"/>
        </w:rPr>
      </w:pPr>
      <w:r>
        <w:rPr>
          <w:rFonts w:hint="eastAsia" w:ascii="方正姚体" w:hAnsi="方正姚体" w:eastAsia="方正姚体" w:cs="方正姚体"/>
          <w:b/>
          <w:kern w:val="0"/>
          <w:sz w:val="72"/>
          <w:szCs w:val="72"/>
        </w:rPr>
        <w:t>动</w:t>
      </w:r>
    </w:p>
    <w:p>
      <w:pPr>
        <w:spacing w:line="1220" w:lineRule="atLeast"/>
        <w:jc w:val="center"/>
        <w:rPr>
          <w:rFonts w:hint="eastAsia" w:ascii="方正姚体" w:hAnsi="方正姚体" w:eastAsia="方正姚体" w:cs="方正姚体"/>
          <w:b/>
          <w:kern w:val="0"/>
          <w:sz w:val="72"/>
          <w:szCs w:val="72"/>
          <w:lang w:val="en-US" w:eastAsia="zh-CN"/>
        </w:rPr>
      </w:pPr>
      <w:r>
        <w:rPr>
          <w:rFonts w:hint="eastAsia" w:ascii="方正姚体" w:hAnsi="方正姚体" w:eastAsia="方正姚体" w:cs="方正姚体"/>
          <w:b/>
          <w:kern w:val="0"/>
          <w:sz w:val="72"/>
          <w:szCs w:val="72"/>
          <w:lang w:val="en-US" w:eastAsia="zh-CN"/>
        </w:rPr>
        <w:t>方</w:t>
      </w:r>
    </w:p>
    <w:p>
      <w:pPr>
        <w:spacing w:line="1220" w:lineRule="atLeast"/>
        <w:jc w:val="center"/>
        <w:rPr>
          <w:rFonts w:hint="eastAsia" w:ascii="方正姚体" w:hAnsi="方正姚体" w:eastAsia="方正姚体" w:cs="方正姚体"/>
          <w:b/>
          <w:sz w:val="72"/>
          <w:szCs w:val="72"/>
          <w:lang w:eastAsia="zh-CN"/>
        </w:rPr>
      </w:pPr>
      <w:r>
        <w:rPr>
          <w:rFonts w:hint="eastAsia" w:ascii="方正姚体" w:hAnsi="方正姚体" w:eastAsia="方正姚体" w:cs="方正姚体"/>
          <w:b/>
          <w:kern w:val="0"/>
          <w:sz w:val="72"/>
          <w:szCs w:val="72"/>
          <w:lang w:val="en-US" w:eastAsia="zh-CN"/>
        </w:rPr>
        <w:t>案</w:t>
      </w:r>
    </w:p>
    <w:p>
      <w:pPr>
        <w:spacing w:line="1220" w:lineRule="exact"/>
        <w:ind w:firstLine="883" w:firstLineChars="200"/>
        <w:jc w:val="center"/>
        <w:rPr>
          <w:b/>
        </w:rPr>
      </w:pPr>
      <w:r>
        <w:rPr>
          <w:rFonts w:hint="eastAsia" w:ascii="方正姚体" w:eastAsia="方正姚体"/>
          <w:b/>
          <w:sz w:val="44"/>
          <w:szCs w:val="44"/>
        </w:rPr>
        <w:t xml:space="preserve"> </w:t>
      </w:r>
    </w:p>
    <w:p>
      <w:pPr>
        <w:jc w:val="center"/>
        <w:rPr>
          <w:rFonts w:ascii="方正姚体" w:hAnsi="方正姚体" w:eastAsia="方正姚体" w:cs="方正姚体"/>
          <w:b/>
          <w:sz w:val="44"/>
          <w:szCs w:val="44"/>
        </w:rPr>
      </w:pPr>
      <w:r>
        <w:rPr>
          <w:rFonts w:hint="eastAsia" w:ascii="方正姚体" w:hAnsi="方正姚体" w:eastAsia="方正姚体" w:cs="方正姚体"/>
          <w:b/>
          <w:kern w:val="0"/>
          <w:sz w:val="44"/>
          <w:szCs w:val="44"/>
        </w:rPr>
        <w:t>药学与化学工程学院</w:t>
      </w:r>
    </w:p>
    <w:p>
      <w:pPr>
        <w:jc w:val="center"/>
        <w:rPr>
          <w:rFonts w:ascii="方正姚体" w:hAnsi="方正姚体" w:eastAsia="方正姚体" w:cs="方正姚体"/>
          <w:b/>
          <w:kern w:val="0"/>
          <w:sz w:val="44"/>
          <w:szCs w:val="44"/>
        </w:rPr>
      </w:pPr>
      <w:r>
        <w:rPr>
          <w:rFonts w:hint="eastAsia" w:ascii="方正姚体" w:hAnsi="方正姚体" w:eastAsia="方正姚体" w:cs="方正姚体"/>
          <w:b/>
          <w:kern w:val="0"/>
          <w:sz w:val="44"/>
          <w:szCs w:val="44"/>
        </w:rPr>
        <w:t>20</w:t>
      </w:r>
      <w:r>
        <w:rPr>
          <w:rFonts w:hint="eastAsia" w:ascii="方正姚体" w:hAnsi="方正姚体" w:eastAsia="方正姚体" w:cs="方正姚体"/>
          <w:b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姚体" w:hAnsi="方正姚体" w:eastAsia="方正姚体" w:cs="方正姚体"/>
          <w:b/>
          <w:kern w:val="0"/>
          <w:sz w:val="44"/>
          <w:szCs w:val="44"/>
        </w:rPr>
        <w:t>年</w:t>
      </w:r>
      <w:r>
        <w:rPr>
          <w:rFonts w:hint="eastAsia" w:ascii="方正姚体" w:hAnsi="方正姚体" w:eastAsia="方正姚体" w:cs="方正姚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方正姚体" w:hAnsi="方正姚体" w:eastAsia="方正姚体" w:cs="方正姚体"/>
          <w:b/>
          <w:kern w:val="0"/>
          <w:sz w:val="44"/>
          <w:szCs w:val="44"/>
        </w:rPr>
        <w:t>月</w:t>
      </w:r>
      <w:r>
        <w:rPr>
          <w:rFonts w:hint="eastAsia" w:ascii="方正姚体" w:hAnsi="方正姚体" w:eastAsia="方正姚体" w:cs="方正姚体"/>
          <w:b/>
          <w:kern w:val="0"/>
          <w:sz w:val="44"/>
          <w:szCs w:val="44"/>
          <w:lang w:val="en-US" w:eastAsia="zh-CN"/>
        </w:rPr>
        <w:t>6</w:t>
      </w:r>
      <w:r>
        <w:rPr>
          <w:rFonts w:hint="eastAsia" w:ascii="方正姚体" w:hAnsi="方正姚体" w:eastAsia="方正姚体" w:cs="方正姚体"/>
          <w:b/>
          <w:kern w:val="0"/>
          <w:sz w:val="44"/>
          <w:szCs w:val="44"/>
        </w:rPr>
        <w:t>日</w:t>
      </w:r>
    </w:p>
    <w:p>
      <w:pPr>
        <w:jc w:val="center"/>
        <w:rPr>
          <w:rFonts w:ascii="黑体" w:hAnsi="黑体" w:eastAsia="黑体" w:cs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>
      <w:pPr>
        <w:pStyle w:val="3"/>
        <w:bidi w:val="0"/>
        <w:jc w:val="center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药学与化学工程学院劳动教育周活动方案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为深入贯彻党的德智体美劳全面发展的教育方针，全面落实《中共中央国务院关于全面加强新时代大中小学劳动教育的意见》，根据教育部《大中小学劳动教育指导纲要（试行）》（教材〔2020〕4号）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、《关于促进中医药文化传承创新发展的意见》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河南省《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关于全面加强新时代大中小学劳动教育的实施意见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》，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药学化学工程学院将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劳动教育纳入人才培养全过程，通过劳动教育，使学生理解和形成马克思主义劳动观，体会劳动创造美好生活，培养勤俭、奋斗、创新、奉献的劳动精神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具备满足生存发展需要的基本劳动能力，形成良好劳动习惯。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结合我院人才培养方案及实际教育工作情况，经药学与化学工程学院劳动实践教育工作领导小组商议，特制定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2023-2024-2学期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郑州工业应用技术学院关于《药学与化学工程学院劳动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教育周活动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习近平新时代中国特色社会主义思想为指导，落实立德树人根本任务，将劳动教育融入人才培养全过程，教育引导学生崇尚劳动、热爱劳动、投身劳动、尊重劳动，弘扬劳动最光荣、劳动最崇高、劳动最伟大、劳动最美丽的价值取向，努力培养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二、目标原则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1．树立正确的劳动观念。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正确理解劳动是人类发展和社会进步的根本力量，帮助学生深刻认识劳动的价值意义，形成健全人格和良好的思想道德品质，培养爱国奋斗精神。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具有必备的劳动能力。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培养学生掌握基本的劳动知识和技能，正确使用常见劳动工具，增强体力、智力和创造力，具备完成一定劳动任务所需要的设计、操作能力及团队合作能力。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培育积极的劳动精神。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发挥学生党员和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学生干部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的先锋模范作用，领会“幸福是奋斗出来的”内涵与意义，继承中华民族勤俭节约、敬业奉献的优良传统，弘扬开拓创新、砥砺奋进的时代精神。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养成良好的劳动习惯。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引导学生自觉自愿、认真负责、安全规范、坚持不懈地参与劳动，形成诚实守信、吃苦耐劳的品质。教育学生珍惜劳动成果，养成良好的消费习惯，杜绝浪费。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175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学院成立劳动实践教育工作领导小组，负责劳动教育的组织实施，该领导小组成员如下：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175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组长：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岑世宏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175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副组长：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姜亚玲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王宇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175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成员：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各教研室主任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、实验中心主任、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分团委副书记、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相关年级辅导员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办公室主任、劳动教育相关负责教师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175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药学实验中心、学生宿舍和河南远征冶金科技有限公司（河南化工技师学院中试基地）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5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药学与化学工程学院全体学生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175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1.开展集中宣传活动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各学院通过新闻网站、公众号、电子显示屏、系列展板等平台，开设专题专栏，集中宣传和推广劳动教育理念，强化劳动观念，弘扬劳动精神，营造尊重劳动、崇尚劳动的良好氛围，全面做好劳动教育宣传工作。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开展劳动模范人物进校园活动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将劳动教育与专业课程紧密联系在一起，使学生能够在劳动的同时，启发学生对专业认知的思考。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通过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组织学生到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河南远征冶金科技有限公司（河南化工技师学院中试基地）进行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观摩学习，让师生近距离接触劳动模范、聆听劳模故事、观摩精湛技艺、领悟勤勉敬业的劳动精神、争做新时代的奋斗者。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3.开展感悟劳动精神主题班会。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各班级可采用召开感悟劳动精神主题班会，倡导学生树立正确的劳动价值观和价值取向，崇尚劳动，尊重劳动，增强对劳动人民的感情，引导当代大学生成为劳动精神的践行者。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．开展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集体劳动实践活动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结合爱国卫生运动，以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为单位，围绕绿化美化、校园卫生、教室清洁等开展集体劳动锻炼，培养学生日常生活劳动技能，促使劳动教育成为生活养成教育。实行环境卫生包干区制度，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实验中心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为单位划分责任片区，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班级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分小组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组织参加集体劳动。以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各实验分室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为单位，清理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实验室和仪器卫生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，保持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实验室良好的教学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环境。学生参加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实验室劳动和宿舍劳动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不少于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个学时。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5.开展专业特色劳动实践活动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劳动教育与专业人才培养有机结合，大力弘扬劳动精神、劳模精神、工匠精神，依托我院“药用植物腊叶标本展示大赛活动”，形成我院劳动教育特色课程。在药用植物腊叶标本展实践活动中强化劳动知识和技能训练，培养劳动情感和劳动态度，全面培育劳动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七、保障机制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1.加强文化宣传。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充分运用学院官网、微信公众号等平台，立体化宣传劳动教育。弘扬劳动精神，营造崇尚劳动、热爱劳动的良好氛围。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强化安全保障。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加强劳动安全教育，将安全措施落实到劳动教育的全过程、全时段，确保师生人身安全。做好学生生命安全教育，学会自我防护，特别是要教育学生安全使用劳动工具和材料，切实保障劳动教育的安全顺利实施。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0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5"/>
          <w:szCs w:val="25"/>
        </w:rPr>
        <w:t>加强考评督查。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</w:rPr>
        <w:t>把劳动教育纳入党建与思想政治教育考核体系，加强督导检查。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</w:rPr>
        <w:t>不断健全学生劳动素养评价标准和程序，将劳动教育实践活动成绩纳入学生评先评优、推优等指标体系。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药学与化学工程学院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8EC5A"/>
    <w:multiLevelType w:val="singleLevel"/>
    <w:tmpl w:val="9398EC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A053A2"/>
    <w:multiLevelType w:val="singleLevel"/>
    <w:tmpl w:val="0DA053A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A88547"/>
    <w:multiLevelType w:val="singleLevel"/>
    <w:tmpl w:val="10A88547"/>
    <w:lvl w:ilvl="0" w:tentative="0">
      <w:start w:val="2"/>
      <w:numFmt w:val="decimal"/>
      <w:suff w:val="nothing"/>
      <w:lvlText w:val="%1．"/>
      <w:lvlJc w:val="left"/>
    </w:lvl>
  </w:abstractNum>
  <w:abstractNum w:abstractNumId="3">
    <w:nsid w:val="5664105E"/>
    <w:multiLevelType w:val="singleLevel"/>
    <w:tmpl w:val="5664105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789590F"/>
    <w:multiLevelType w:val="singleLevel"/>
    <w:tmpl w:val="5789590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WE5Y2QwMTU2OWQwNWMyODEwZTJjMGM1M2UzOWYifQ=="/>
  </w:docVars>
  <w:rsids>
    <w:rsidRoot w:val="042069BF"/>
    <w:rsid w:val="01026FF2"/>
    <w:rsid w:val="01511C0A"/>
    <w:rsid w:val="042069BF"/>
    <w:rsid w:val="204A2AAB"/>
    <w:rsid w:val="2D020A61"/>
    <w:rsid w:val="55C54C6B"/>
    <w:rsid w:val="7940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2012</Words>
  <Characters>2036</Characters>
  <Lines>0</Lines>
  <Paragraphs>0</Paragraphs>
  <TotalTime>9</TotalTime>
  <ScaleCrop>false</ScaleCrop>
  <LinksUpToDate>false</LinksUpToDate>
  <CharactersWithSpaces>2041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2023-05-31T07:55:00Z</dcterms:created>
  <dc:creator>穿云芽</dc:creator>
  <cp:lastModifiedBy>HD</cp:lastModifiedBy>
  <dcterms:modified xsi:type="dcterms:W3CDTF">2024-05-07T03:36:25Z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2639D8D3CD404570B9917493A150F93D_11</vt:lpwstr>
  </property>
</Properties>
</file>